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1376E">
      <w:pPr>
        <w:spacing w:before="120" w:beforeLines="50" w:after="120" w:afterLines="50" w:line="400" w:lineRule="exact"/>
        <w:jc w:val="both"/>
        <w:rPr>
          <w:rFonts w:hint="default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附件1</w:t>
      </w:r>
    </w:p>
    <w:p w14:paraId="68915763">
      <w:pPr>
        <w:spacing w:before="120" w:beforeLines="50" w:after="120" w:afterLines="50" w:line="400" w:lineRule="exact"/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202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0"/>
          <w:szCs w:val="30"/>
        </w:rPr>
        <w:t>级全日制中医硕士专业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学位</w:t>
      </w:r>
      <w:r>
        <w:rPr>
          <w:rFonts w:hint="default" w:ascii="Times New Roman" w:hAnsi="Times New Roman" w:eastAsia="黑体" w:cs="Times New Roman"/>
          <w:sz w:val="30"/>
          <w:szCs w:val="30"/>
        </w:rPr>
        <w:t>研究生课程设置</w:t>
      </w:r>
    </w:p>
    <w:tbl>
      <w:tblPr>
        <w:tblStyle w:val="3"/>
        <w:tblW w:w="920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378"/>
        <w:gridCol w:w="1100"/>
        <w:gridCol w:w="3094"/>
        <w:gridCol w:w="493"/>
        <w:gridCol w:w="482"/>
        <w:gridCol w:w="681"/>
        <w:gridCol w:w="1167"/>
      </w:tblGrid>
      <w:tr w14:paraId="68915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811" w:type="dxa"/>
            <w:shd w:val="clear" w:color="auto" w:fill="auto"/>
            <w:vAlign w:val="center"/>
          </w:tcPr>
          <w:p w14:paraId="68915764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课程类别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68915765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课程性质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8915766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课程代码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767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课程名称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8915768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学时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68915769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学分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6891576A">
            <w:pPr>
              <w:spacing w:before="50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开课学期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6891576B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备注</w:t>
            </w:r>
          </w:p>
        </w:tc>
      </w:tr>
      <w:tr w14:paraId="68915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11" w:type="dxa"/>
            <w:vMerge w:val="restart"/>
            <w:shd w:val="clear" w:color="auto" w:fill="auto"/>
            <w:vAlign w:val="center"/>
          </w:tcPr>
          <w:p w14:paraId="6891576D">
            <w:pPr>
              <w:spacing w:before="100" w:beforeAutospacing="1" w:line="300" w:lineRule="exact"/>
              <w:jc w:val="center"/>
              <w:rPr>
                <w:rFonts w:ascii="仿宋" w:hAnsi="仿宋" w:eastAsia="仿宋" w:cs="宋体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szCs w:val="21"/>
                <w:highlight w:val="none"/>
              </w:rPr>
              <w:t>学位课</w:t>
            </w:r>
          </w:p>
          <w:p w14:paraId="5D0D9586">
            <w:pPr>
              <w:spacing w:before="100" w:beforeAutospacing="1" w:line="300" w:lineRule="exact"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  <w:highlight w:val="none"/>
              </w:rPr>
              <w:t>（</w:t>
            </w:r>
            <w:r>
              <w:rPr>
                <w:rFonts w:ascii="仿宋" w:hAnsi="仿宋" w:eastAsia="仿宋" w:cs="宋体"/>
                <w:bCs/>
                <w:szCs w:val="21"/>
                <w:highlight w:val="none"/>
              </w:rPr>
              <w:t>23</w:t>
            </w:r>
            <w:r>
              <w:rPr>
                <w:rFonts w:hint="eastAsia" w:ascii="仿宋" w:hAnsi="仿宋" w:eastAsia="仿宋" w:cs="宋体"/>
                <w:bCs/>
                <w:szCs w:val="21"/>
                <w:highlight w:val="none"/>
              </w:rPr>
              <w:t>学分）</w:t>
            </w:r>
          </w:p>
          <w:p w14:paraId="6891576E">
            <w:pPr>
              <w:spacing w:after="100" w:afterAutospacing="1"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6891576F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公共必修课</w:t>
            </w:r>
          </w:p>
          <w:p w14:paraId="68915770">
            <w:pPr>
              <w:spacing w:before="100" w:beforeAutospacing="1" w:line="300" w:lineRule="exact"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ascii="仿宋" w:hAnsi="仿宋" w:eastAsia="仿宋"/>
                <w:szCs w:val="21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8915771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S009112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77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自然辩证法概论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8915773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68915774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68915775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68915776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</w:tr>
      <w:tr w14:paraId="68915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11" w:type="dxa"/>
            <w:vMerge w:val="continue"/>
            <w:shd w:val="clear" w:color="auto" w:fill="auto"/>
            <w:vAlign w:val="center"/>
          </w:tcPr>
          <w:p w14:paraId="68915778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68915779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tcMar>
              <w:left w:w="51" w:type="dxa"/>
              <w:right w:w="51" w:type="dxa"/>
            </w:tcMar>
            <w:vAlign w:val="center"/>
          </w:tcPr>
          <w:p w14:paraId="6891577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S009111</w:t>
            </w:r>
          </w:p>
        </w:tc>
        <w:tc>
          <w:tcPr>
            <w:tcW w:w="3094" w:type="dxa"/>
            <w:shd w:val="clear" w:color="auto" w:fill="auto"/>
            <w:tcMar>
              <w:left w:w="51" w:type="dxa"/>
              <w:right w:w="51" w:type="dxa"/>
            </w:tcMar>
            <w:vAlign w:val="center"/>
          </w:tcPr>
          <w:p w14:paraId="2EC77B46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新时代中国特色社会主义理论与</w:t>
            </w:r>
          </w:p>
          <w:p w14:paraId="6891577B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实践</w:t>
            </w:r>
          </w:p>
        </w:tc>
        <w:tc>
          <w:tcPr>
            <w:tcW w:w="4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91577C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4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91577D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91577E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1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91577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</w:tc>
      </w:tr>
      <w:tr w14:paraId="68915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11" w:type="dxa"/>
            <w:vMerge w:val="continue"/>
            <w:shd w:val="clear" w:color="auto" w:fill="auto"/>
            <w:vAlign w:val="center"/>
          </w:tcPr>
          <w:p w14:paraId="68915781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68915782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8915783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S00700</w:t>
            </w:r>
            <w:r>
              <w:rPr>
                <w:rFonts w:ascii="仿宋" w:hAnsi="仿宋" w:eastAsia="仿宋"/>
                <w:szCs w:val="21"/>
              </w:rPr>
              <w:t>3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784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公共英语</w:t>
            </w:r>
          </w:p>
        </w:tc>
        <w:tc>
          <w:tcPr>
            <w:tcW w:w="4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915785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36</w:t>
            </w:r>
          </w:p>
        </w:tc>
        <w:tc>
          <w:tcPr>
            <w:tcW w:w="4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915786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91578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1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915788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8915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11" w:type="dxa"/>
            <w:vMerge w:val="continue"/>
            <w:shd w:val="clear" w:color="auto" w:fill="auto"/>
            <w:vAlign w:val="center"/>
          </w:tcPr>
          <w:p w14:paraId="6891579C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6891579D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专业基础课</w:t>
            </w:r>
          </w:p>
          <w:p w14:paraId="6891579E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（</w:t>
            </w:r>
            <w:r>
              <w:rPr>
                <w:rFonts w:ascii="仿宋" w:hAnsi="仿宋" w:eastAsia="仿宋"/>
                <w:color w:val="auto"/>
                <w:szCs w:val="21"/>
              </w:rPr>
              <w:t>10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891579F"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S002018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7A0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《伤寒论》临证应用规律解析</w:t>
            </w: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A1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A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A3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restart"/>
            <w:shd w:val="clear" w:color="auto" w:fill="auto"/>
            <w:vAlign w:val="center"/>
          </w:tcPr>
          <w:p w14:paraId="4B7E9485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SPOC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 w14:paraId="689157A4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480AB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shd w:val="clear" w:color="auto" w:fill="auto"/>
            <w:vAlign w:val="center"/>
          </w:tcPr>
          <w:p w14:paraId="183802FB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37D70F28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506D3F4E"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S002048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0A228202"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温病学理论与实践</w:t>
            </w: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E24511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B807BC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B1A9DDA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67266C04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36E4A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shd w:val="clear" w:color="auto" w:fill="auto"/>
            <w:vAlign w:val="center"/>
          </w:tcPr>
          <w:p w14:paraId="5BE6A3BD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3A245EEE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205A9F10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S002019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4F94F10B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金匮方证治研究</w:t>
            </w: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FF010BC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7BEB8B0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AC02136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47C6F653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9306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shd w:val="clear" w:color="auto" w:fill="auto"/>
            <w:vAlign w:val="center"/>
          </w:tcPr>
          <w:p w14:paraId="7C3E9641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0817312E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7CC66509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S003035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21EF45E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中医临床研究设计与方法</w:t>
            </w: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8919BC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5121521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1C18C27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792A5CA0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24157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shd w:val="clear" w:color="auto" w:fill="auto"/>
            <w:vAlign w:val="center"/>
          </w:tcPr>
          <w:p w14:paraId="32570FE6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109AF1D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7B8FCD17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S002013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56BBD83A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医药信息素养与资源利用</w:t>
            </w: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F63000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4063B3C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E1B22F8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02196A73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4304D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shd w:val="clear" w:color="auto" w:fill="auto"/>
            <w:vAlign w:val="center"/>
          </w:tcPr>
          <w:p w14:paraId="6658D444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8D43221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7F941EBC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S003038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706C1126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国医大师、名医临证经验</w:t>
            </w: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CDACC9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0E7014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9293E49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6E475E98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8915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shd w:val="clear" w:color="auto" w:fill="auto"/>
            <w:vAlign w:val="center"/>
          </w:tcPr>
          <w:p w14:paraId="689157A6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689157A7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89157A8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S003032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7A9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案例式医案医话精粹</w:t>
            </w: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A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AB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AC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689157AD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8915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shd w:val="clear" w:color="auto" w:fill="auto"/>
            <w:vAlign w:val="center"/>
          </w:tcPr>
          <w:p w14:paraId="689157C1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shd w:val="clear" w:color="auto" w:fill="auto"/>
            <w:vAlign w:val="center"/>
          </w:tcPr>
          <w:p w14:paraId="689157C3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专业课（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学分及以上）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89157C4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689157C5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各科临床进展</w:t>
            </w: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C6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C7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C8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1-4</w:t>
            </w:r>
          </w:p>
        </w:tc>
        <w:tc>
          <w:tcPr>
            <w:tcW w:w="116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157C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由各基地开设</w:t>
            </w:r>
          </w:p>
        </w:tc>
      </w:tr>
      <w:tr w14:paraId="68915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11" w:type="dxa"/>
            <w:vMerge w:val="continue"/>
            <w:shd w:val="clear" w:color="auto" w:fill="auto"/>
            <w:vAlign w:val="center"/>
          </w:tcPr>
          <w:p w14:paraId="68915813">
            <w:pPr>
              <w:spacing w:after="100" w:afterAutospacing="1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68915814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规培课</w:t>
            </w:r>
          </w:p>
          <w:p w14:paraId="68915815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ascii="仿宋" w:hAnsi="仿宋" w:eastAsia="仿宋"/>
                <w:szCs w:val="21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8915816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SG</w:t>
            </w:r>
            <w:r>
              <w:rPr>
                <w:rFonts w:ascii="仿宋" w:hAnsi="仿宋" w:eastAsia="仿宋"/>
                <w:szCs w:val="21"/>
              </w:rPr>
              <w:t>01007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81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循证医学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8915818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6891581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6891581A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restart"/>
            <w:shd w:val="clear" w:color="auto" w:fill="auto"/>
            <w:vAlign w:val="center"/>
          </w:tcPr>
          <w:p w14:paraId="7C448FFC"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SPOC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 w14:paraId="58F87379">
            <w:pPr>
              <w:spacing w:before="5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8915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811" w:type="dxa"/>
            <w:vMerge w:val="continue"/>
            <w:shd w:val="clear" w:color="auto" w:fill="auto"/>
            <w:vAlign w:val="center"/>
          </w:tcPr>
          <w:p w14:paraId="6891581D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6891581E">
            <w:pPr>
              <w:spacing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891581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SG01003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820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临床思维与人际沟通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8915821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6891582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68915823">
            <w:pPr>
              <w:jc w:val="center"/>
              <w:rPr>
                <w:rFonts w:hint="eastAsia" w:ascii="仿宋" w:hAnsi="仿宋" w:eastAsia="仿宋" w:cstheme="minorBidi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68915824">
            <w:pPr>
              <w:spacing w:before="50"/>
              <w:jc w:val="center"/>
              <w:rPr>
                <w:rFonts w:ascii="仿宋" w:hAnsi="仿宋" w:eastAsia="仿宋" w:cstheme="minorBidi"/>
                <w:szCs w:val="21"/>
              </w:rPr>
            </w:pPr>
          </w:p>
        </w:tc>
      </w:tr>
      <w:tr w14:paraId="68915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811" w:type="dxa"/>
            <w:vMerge w:val="continue"/>
            <w:shd w:val="clear" w:color="auto" w:fill="auto"/>
            <w:vAlign w:val="center"/>
          </w:tcPr>
          <w:p w14:paraId="68915826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68915827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8915828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SG01004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82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医学法学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891582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6891582B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6891582C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6891582D">
            <w:pPr>
              <w:spacing w:before="5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8915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811" w:type="dxa"/>
            <w:vMerge w:val="continue"/>
            <w:shd w:val="clear" w:color="auto" w:fill="auto"/>
            <w:vAlign w:val="center"/>
          </w:tcPr>
          <w:p w14:paraId="6891582F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68915830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8915831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SG01005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6891583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重点传染病防治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8915833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68915834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68915835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 w14:paraId="68915836">
            <w:pPr>
              <w:spacing w:before="5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8915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2189" w:type="dxa"/>
            <w:gridSpan w:val="2"/>
            <w:shd w:val="clear" w:color="auto" w:fill="auto"/>
            <w:vAlign w:val="center"/>
          </w:tcPr>
          <w:p w14:paraId="68915838">
            <w:pPr>
              <w:spacing w:before="100" w:beforeAutospacing="1"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总学分</w:t>
            </w:r>
          </w:p>
        </w:tc>
        <w:tc>
          <w:tcPr>
            <w:tcW w:w="7017" w:type="dxa"/>
            <w:gridSpan w:val="6"/>
            <w:shd w:val="clear" w:color="auto" w:fill="auto"/>
            <w:vAlign w:val="center"/>
          </w:tcPr>
          <w:p w14:paraId="68915839">
            <w:pPr>
              <w:spacing w:before="5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</w:rPr>
              <w:t>不低于</w:t>
            </w:r>
            <w:r>
              <w:rPr>
                <w:rFonts w:ascii="仿宋" w:hAnsi="仿宋" w:eastAsia="仿宋"/>
                <w:b/>
                <w:bCs/>
                <w:szCs w:val="21"/>
                <w:highlight w:val="none"/>
              </w:rPr>
              <w:t xml:space="preserve"> 23 </w:t>
            </w: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</w:rPr>
              <w:t>学分</w:t>
            </w:r>
          </w:p>
        </w:tc>
      </w:tr>
      <w:tr w14:paraId="20E3C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2189" w:type="dxa"/>
            <w:gridSpan w:val="2"/>
            <w:shd w:val="clear" w:color="auto" w:fill="auto"/>
            <w:vAlign w:val="center"/>
          </w:tcPr>
          <w:p w14:paraId="19385067">
            <w:pPr>
              <w:spacing w:before="100" w:beforeAutospacing="1" w:line="300" w:lineRule="exact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17" w:type="dxa"/>
            <w:gridSpan w:val="6"/>
            <w:shd w:val="clear" w:color="auto" w:fill="auto"/>
            <w:vAlign w:val="center"/>
          </w:tcPr>
          <w:p w14:paraId="36033E41">
            <w:pPr>
              <w:spacing w:before="50"/>
              <w:jc w:val="center"/>
              <w:rPr>
                <w:rFonts w:hint="eastAsia" w:ascii="仿宋" w:hAnsi="仿宋" w:eastAsia="仿宋"/>
                <w:b/>
                <w:bCs/>
                <w:szCs w:val="21"/>
                <w:highlight w:val="none"/>
              </w:rPr>
            </w:pPr>
          </w:p>
        </w:tc>
      </w:tr>
    </w:tbl>
    <w:p w14:paraId="134792F7">
      <w:pPr>
        <w:jc w:val="left"/>
        <w:rPr>
          <w:rFonts w:hint="default" w:ascii="仿宋" w:hAnsi="仿宋" w:eastAsia="仿宋"/>
          <w:color w:val="0000FF"/>
          <w:szCs w:val="21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Cs w:val="21"/>
          <w:lang w:val="en-US" w:eastAsia="zh-CN"/>
        </w:rPr>
        <w:t>注:</w:t>
      </w:r>
      <w:r>
        <w:rPr>
          <w:rFonts w:hint="eastAsia" w:ascii="仿宋" w:hAnsi="仿宋" w:eastAsia="仿宋"/>
          <w:color w:val="auto"/>
          <w:szCs w:val="21"/>
          <w:lang w:val="en-US" w:eastAsia="zh-CN"/>
        </w:rPr>
        <w:t>此课程设置适用于1057中医专硕（含港澳台），</w:t>
      </w:r>
      <w:bookmarkStart w:id="0" w:name="_GoBack"/>
      <w:r>
        <w:rPr>
          <w:rFonts w:hint="eastAsia" w:ascii="仿宋" w:hAnsi="仿宋" w:eastAsia="仿宋"/>
          <w:color w:val="auto"/>
          <w:szCs w:val="21"/>
          <w:lang w:val="en-US" w:eastAsia="zh-CN"/>
        </w:rPr>
        <w:t>但</w:t>
      </w:r>
      <w:bookmarkEnd w:id="0"/>
      <w:r>
        <w:rPr>
          <w:rFonts w:hint="eastAsia" w:ascii="仿宋" w:hAnsi="仿宋" w:eastAsia="仿宋"/>
          <w:color w:val="FF0000"/>
          <w:szCs w:val="21"/>
          <w:lang w:val="en-US" w:eastAsia="zh-CN"/>
        </w:rPr>
        <w:t>105707针灸推拿学</w:t>
      </w:r>
      <w:r>
        <w:rPr>
          <w:rFonts w:hint="eastAsia" w:ascii="仿宋" w:hAnsi="仿宋" w:eastAsia="仿宋"/>
          <w:color w:val="auto"/>
          <w:szCs w:val="21"/>
          <w:lang w:val="en-US" w:eastAsia="zh-CN"/>
        </w:rPr>
        <w:t>专硕除外。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1A50BF"/>
    <w:rsid w:val="1D564CD4"/>
    <w:rsid w:val="4FB06322"/>
    <w:rsid w:val="5EBB74B5"/>
    <w:rsid w:val="619C1A4E"/>
    <w:rsid w:val="7E5B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